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CF7F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566507F0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7CEE62FE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14:paraId="60589E30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42B97147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5F3B8277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0908E8A0" w14:textId="41D8931D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</w:p>
    <w:p w14:paraId="35D0E9FD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2AAD5AAA" w14:textId="528D27F1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9064C1">
        <w:rPr>
          <w:rFonts w:ascii="Times New Roman" w:hAnsi="Times New Roman"/>
          <w:b/>
          <w:smallCaps/>
          <w:sz w:val="28"/>
          <w:lang w:val="en-GB"/>
        </w:rPr>
        <w:t>g</w:t>
      </w:r>
      <w:r w:rsidRPr="009064C1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9064C1">
        <w:rPr>
          <w:rFonts w:ascii="Times New Roman" w:hAnsi="Times New Roman"/>
          <w:b/>
          <w:smallCaps/>
          <w:sz w:val="28"/>
          <w:lang w:val="en-GB"/>
        </w:rPr>
        <w:t>b</w:t>
      </w:r>
      <w:r w:rsidRPr="009064C1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14:paraId="0E28E3E3" w14:textId="77777777" w:rsidR="005705CD" w:rsidRDefault="005705CD" w:rsidP="008C695C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5705CD">
        <w:rPr>
          <w:rFonts w:ascii="Times New Roman" w:hAnsi="Times New Roman"/>
          <w:sz w:val="22"/>
          <w:szCs w:val="22"/>
          <w:lang w:val="en-GB"/>
        </w:rPr>
        <w:t>Ministry of Environment and Physical Planning</w:t>
      </w:r>
      <w:r>
        <w:rPr>
          <w:rFonts w:ascii="Times New Roman" w:hAnsi="Times New Roman"/>
          <w:sz w:val="22"/>
          <w:szCs w:val="22"/>
          <w:lang w:val="en-GB"/>
        </w:rPr>
        <w:t>,</w:t>
      </w:r>
    </w:p>
    <w:p w14:paraId="3637C914" w14:textId="77777777" w:rsidR="005705CD" w:rsidRPr="005705CD" w:rsidRDefault="005705CD" w:rsidP="008C695C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5705CD">
        <w:rPr>
          <w:rFonts w:ascii="Times New Roman" w:hAnsi="Times New Roman"/>
          <w:sz w:val="22"/>
          <w:szCs w:val="22"/>
          <w:lang w:val="en-GB"/>
        </w:rPr>
        <w:t>Square Presveta Bogorodica no. 3</w:t>
      </w:r>
    </w:p>
    <w:p w14:paraId="5B61E2A3" w14:textId="77777777" w:rsidR="005705CD" w:rsidRDefault="005705CD" w:rsidP="008C695C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5705CD">
        <w:rPr>
          <w:rFonts w:ascii="Times New Roman" w:hAnsi="Times New Roman"/>
          <w:sz w:val="22"/>
          <w:szCs w:val="22"/>
          <w:lang w:val="en-GB"/>
        </w:rPr>
        <w:t>1000 Skopje, Republic of North Macedonia</w:t>
      </w:r>
    </w:p>
    <w:p w14:paraId="49DBC82E" w14:textId="12CA282D" w:rsidR="004D2FD8" w:rsidRPr="00387E08" w:rsidRDefault="005705CD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 w:rsidDel="005705CD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0F9B613C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56EDEA13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0039CC59" w14:textId="77777777" w:rsidR="00B90C14" w:rsidRPr="005705CD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5705CD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8C695C">
        <w:rPr>
          <w:rFonts w:ascii="Times New Roman" w:hAnsi="Times New Roman"/>
          <w:sz w:val="22"/>
          <w:szCs w:val="22"/>
          <w:lang w:val="en-GB"/>
        </w:rPr>
        <w:t xml:space="preserve">Full official </w:t>
      </w:r>
      <w:r w:rsidR="007A0D58" w:rsidRPr="008C695C">
        <w:rPr>
          <w:rFonts w:ascii="Times New Roman" w:hAnsi="Times New Roman"/>
          <w:sz w:val="22"/>
          <w:szCs w:val="22"/>
          <w:lang w:val="en-GB"/>
        </w:rPr>
        <w:t>n</w:t>
      </w:r>
      <w:r w:rsidRPr="008C695C">
        <w:rPr>
          <w:rFonts w:ascii="Times New Roman" w:hAnsi="Times New Roman"/>
          <w:sz w:val="22"/>
          <w:szCs w:val="22"/>
          <w:lang w:val="en-GB"/>
        </w:rPr>
        <w:t xml:space="preserve">ame of </w:t>
      </w:r>
      <w:r w:rsidR="00531265" w:rsidRPr="008C695C">
        <w:rPr>
          <w:rFonts w:ascii="Times New Roman" w:hAnsi="Times New Roman"/>
          <w:sz w:val="22"/>
          <w:szCs w:val="22"/>
          <w:lang w:val="en-GB"/>
        </w:rPr>
        <w:t>c</w:t>
      </w:r>
      <w:r w:rsidRPr="008C695C">
        <w:rPr>
          <w:rFonts w:ascii="Times New Roman" w:hAnsi="Times New Roman"/>
          <w:sz w:val="22"/>
          <w:szCs w:val="22"/>
          <w:lang w:val="en-GB"/>
        </w:rPr>
        <w:t>ontractor</w:t>
      </w:r>
      <w:r w:rsidRPr="005705CD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446125F5" w14:textId="77777777" w:rsidR="00B90C14" w:rsidRPr="008C695C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5705CD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5705CD">
        <w:rPr>
          <w:rFonts w:ascii="Times New Roman" w:hAnsi="Times New Roman"/>
          <w:sz w:val="22"/>
          <w:szCs w:val="22"/>
          <w:lang w:val="en-GB"/>
        </w:rPr>
        <w:t>&lt;</w:t>
      </w:r>
      <w:r w:rsidRPr="008C695C">
        <w:rPr>
          <w:rFonts w:ascii="Times New Roman" w:hAnsi="Times New Roman"/>
          <w:sz w:val="22"/>
          <w:szCs w:val="22"/>
          <w:lang w:val="en-GB"/>
        </w:rPr>
        <w:t>Legal status/title</w:t>
      </w:r>
      <w:r w:rsidR="00B202BC" w:rsidRPr="008C695C">
        <w:rPr>
          <w:rFonts w:ascii="Times New Roman" w:hAnsi="Times New Roman"/>
          <w:sz w:val="22"/>
          <w:szCs w:val="22"/>
          <w:lang w:val="en-GB"/>
        </w:rPr>
        <w:t>&gt;</w:t>
      </w:r>
      <w:r w:rsidRPr="008C695C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8C695C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p w14:paraId="5DFA079D" w14:textId="77777777" w:rsidR="00B90C14" w:rsidRPr="008C695C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8C695C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8C695C">
        <w:rPr>
          <w:rFonts w:ascii="Times New Roman" w:hAnsi="Times New Roman"/>
          <w:sz w:val="22"/>
          <w:szCs w:val="22"/>
          <w:lang w:val="en-GB"/>
        </w:rPr>
        <w:t>&lt;</w:t>
      </w:r>
      <w:r w:rsidRPr="008C695C">
        <w:rPr>
          <w:rFonts w:ascii="Times New Roman" w:hAnsi="Times New Roman"/>
          <w:sz w:val="22"/>
          <w:szCs w:val="22"/>
          <w:lang w:val="en-GB"/>
        </w:rPr>
        <w:t>Official registration number</w:t>
      </w:r>
      <w:r w:rsidR="00B202BC" w:rsidRPr="008C695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8C695C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8C695C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14:paraId="5C02F191" w14:textId="77777777" w:rsidR="00B90C14" w:rsidRPr="008C695C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8C695C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8C695C">
        <w:rPr>
          <w:rFonts w:ascii="Times New Roman" w:hAnsi="Times New Roman"/>
          <w:sz w:val="22"/>
          <w:szCs w:val="22"/>
          <w:lang w:val="en-GB"/>
        </w:rPr>
        <w:t>Full official address</w:t>
      </w:r>
      <w:r w:rsidRPr="008C695C">
        <w:rPr>
          <w:rFonts w:ascii="Times New Roman" w:hAnsi="Times New Roman"/>
          <w:sz w:val="22"/>
          <w:szCs w:val="22"/>
          <w:lang w:val="en-GB"/>
        </w:rPr>
        <w:t>&gt;</w:t>
      </w:r>
    </w:p>
    <w:p w14:paraId="77FA3837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8C695C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8C695C">
        <w:rPr>
          <w:rFonts w:ascii="Times New Roman" w:hAnsi="Times New Roman"/>
          <w:sz w:val="22"/>
          <w:szCs w:val="22"/>
          <w:lang w:val="en-GB"/>
        </w:rPr>
        <w:t>&lt;</w:t>
      </w:r>
      <w:r w:rsidRPr="008C695C">
        <w:rPr>
          <w:rFonts w:ascii="Times New Roman" w:hAnsi="Times New Roman"/>
          <w:sz w:val="22"/>
          <w:szCs w:val="22"/>
          <w:lang w:val="en-GB"/>
        </w:rPr>
        <w:t>VAT number</w:t>
      </w:r>
      <w:r w:rsidR="00B202BC" w:rsidRPr="005705CD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5705CD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5705CD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5705CD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5705CD">
        <w:rPr>
          <w:rFonts w:ascii="Times New Roman" w:hAnsi="Times New Roman"/>
          <w:sz w:val="22"/>
          <w:szCs w:val="22"/>
          <w:lang w:val="en-GB"/>
        </w:rPr>
        <w:t>(</w:t>
      </w:r>
      <w:r w:rsidR="00531265" w:rsidRPr="005705CD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5705CD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 w:rsidRPr="005705CD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5705CD">
        <w:rPr>
          <w:rFonts w:ascii="Times New Roman" w:hAnsi="Times New Roman"/>
          <w:sz w:val="22"/>
          <w:szCs w:val="22"/>
          <w:lang w:val="en-GB"/>
        </w:rPr>
        <w:t>ontractor</w:t>
      </w:r>
      <w:r w:rsidR="00531265" w:rsidRPr="005705CD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5705CD">
        <w:rPr>
          <w:rFonts w:ascii="Times New Roman" w:hAnsi="Times New Roman"/>
          <w:sz w:val="22"/>
          <w:szCs w:val="22"/>
          <w:lang w:val="en-GB"/>
        </w:rPr>
        <w:t>)</w:t>
      </w:r>
    </w:p>
    <w:p w14:paraId="554B8F70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4ECAA676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4F60D07D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502B1A29" w14:textId="05019B16" w:rsidR="00CD243E" w:rsidRDefault="00CD243E" w:rsidP="00A07723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>PROJECT</w:t>
      </w:r>
      <w:r w:rsidR="002576C0">
        <w:rPr>
          <w:rFonts w:ascii="Times New Roman" w:hAnsi="Times New Roman"/>
          <w:b/>
          <w:sz w:val="28"/>
          <w:lang w:val="en-GB"/>
        </w:rPr>
        <w:t>:</w:t>
      </w:r>
      <w:r w:rsidRPr="00552705">
        <w:rPr>
          <w:rFonts w:ascii="Times New Roman" w:hAnsi="Times New Roman"/>
          <w:b/>
          <w:sz w:val="28"/>
          <w:lang w:val="en-GB"/>
        </w:rPr>
        <w:t xml:space="preserve"> </w:t>
      </w:r>
      <w:r w:rsidR="005705CD" w:rsidRPr="00A07723">
        <w:rPr>
          <w:rFonts w:ascii="Times New Roman" w:hAnsi="Times New Roman"/>
          <w:b/>
          <w:sz w:val="28"/>
          <w:lang w:val="en-GB"/>
        </w:rPr>
        <w:t>Transboundary Air Pollution Health Index, Development and Implementation</w:t>
      </w:r>
    </w:p>
    <w:p w14:paraId="29A7525E" w14:textId="77777777" w:rsidR="002576C0" w:rsidRPr="00552705" w:rsidRDefault="002576C0" w:rsidP="00A07723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</w:p>
    <w:p w14:paraId="20976D10" w14:textId="644CA2D3" w:rsidR="004D2FD8" w:rsidRPr="007B70E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>CONTRACT TITLE</w:t>
      </w:r>
      <w:r w:rsidR="00F4368E">
        <w:rPr>
          <w:rFonts w:ascii="Times New Roman" w:hAnsi="Times New Roman"/>
          <w:b/>
          <w:sz w:val="28"/>
          <w:lang w:val="en-GB"/>
        </w:rPr>
        <w:t>:</w:t>
      </w:r>
      <w:r w:rsidRPr="007B70EE">
        <w:rPr>
          <w:rFonts w:ascii="Times New Roman" w:hAnsi="Times New Roman"/>
          <w:b/>
          <w:sz w:val="28"/>
          <w:lang w:val="en-GB"/>
        </w:rPr>
        <w:t xml:space="preserve"> </w:t>
      </w:r>
      <w:r w:rsidR="002576C0">
        <w:rPr>
          <w:rFonts w:ascii="Times New Roman" w:hAnsi="Times New Roman"/>
          <w:b/>
          <w:sz w:val="28"/>
          <w:lang w:val="en-GB"/>
        </w:rPr>
        <w:t>“</w:t>
      </w:r>
      <w:r w:rsidR="00814F23" w:rsidRPr="00A07723">
        <w:rPr>
          <w:rFonts w:ascii="Times New Roman" w:hAnsi="Times New Roman"/>
          <w:b/>
          <w:sz w:val="28"/>
          <w:lang w:val="en-GB"/>
        </w:rPr>
        <w:t>Supply of Air Quality Monitoring Equipment</w:t>
      </w:r>
      <w:r w:rsidR="002576C0">
        <w:rPr>
          <w:rFonts w:ascii="Times New Roman" w:hAnsi="Times New Roman"/>
          <w:b/>
          <w:sz w:val="28"/>
          <w:lang w:val="en-GB"/>
        </w:rPr>
        <w:t>”</w:t>
      </w:r>
    </w:p>
    <w:p w14:paraId="6C3FD44E" w14:textId="60C3A146" w:rsidR="004D2FD8" w:rsidRPr="007B70EE" w:rsidRDefault="004D2FD8" w:rsidP="00A07723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5705CD" w:rsidRPr="005705CD">
        <w:rPr>
          <w:rFonts w:ascii="Times New Roman" w:hAnsi="Times New Roman"/>
          <w:sz w:val="22"/>
          <w:lang w:val="en-GB"/>
        </w:rPr>
        <w:t>TRAP/MoEPP/MK/2018/TD0</w:t>
      </w:r>
      <w:r w:rsidR="009064C1">
        <w:rPr>
          <w:rFonts w:ascii="Times New Roman" w:hAnsi="Times New Roman"/>
          <w:sz w:val="22"/>
          <w:lang w:val="en-GB"/>
        </w:rPr>
        <w:t>3</w:t>
      </w:r>
    </w:p>
    <w:p w14:paraId="117A3A00" w14:textId="77777777" w:rsidR="002576C0" w:rsidRDefault="002576C0" w:rsidP="00A07723">
      <w:pPr>
        <w:spacing w:before="0"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67C097D7" w14:textId="77777777" w:rsidR="004D2FD8" w:rsidRPr="003A4EB0" w:rsidRDefault="004D2FD8" w:rsidP="00A07723">
      <w:pPr>
        <w:spacing w:before="0"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01EBFD0C" w14:textId="68F7CCD5" w:rsidR="00622EBA" w:rsidRDefault="004D2FD8" w:rsidP="00514BE0">
      <w:pPr>
        <w:spacing w:before="240" w:after="240"/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1.1</w:t>
      </w:r>
      <w:r w:rsidRPr="003A4EB0">
        <w:rPr>
          <w:rFonts w:ascii="Times New Roman" w:hAnsi="Times New Roman"/>
          <w:sz w:val="22"/>
          <w:lang w:val="en-GB"/>
        </w:rPr>
        <w:tab/>
      </w:r>
      <w:r w:rsidR="00622EBA" w:rsidRPr="00FA01E5">
        <w:rPr>
          <w:rFonts w:ascii="Times New Roman" w:hAnsi="Times New Roman"/>
          <w:sz w:val="22"/>
          <w:lang w:val="fr-BE"/>
        </w:rPr>
        <w:t xml:space="preserve">The subject of the contract is the supply, delivery, unloading, installation, testing, training and putting into operation </w:t>
      </w:r>
      <w:r w:rsidR="00622EBA" w:rsidRPr="00E82463">
        <w:rPr>
          <w:rFonts w:ascii="Times New Roman" w:hAnsi="Times New Roman"/>
          <w:sz w:val="22"/>
          <w:lang w:val="en-GB"/>
        </w:rPr>
        <w:t xml:space="preserve">by the </w:t>
      </w:r>
      <w:r w:rsidR="00622EBA">
        <w:rPr>
          <w:rFonts w:ascii="Times New Roman" w:hAnsi="Times New Roman"/>
          <w:sz w:val="22"/>
          <w:lang w:val="en-GB"/>
        </w:rPr>
        <w:t>c</w:t>
      </w:r>
      <w:r w:rsidR="00622EBA" w:rsidRPr="00E82463">
        <w:rPr>
          <w:rFonts w:ascii="Times New Roman" w:hAnsi="Times New Roman"/>
          <w:sz w:val="22"/>
          <w:lang w:val="en-GB"/>
        </w:rPr>
        <w:t>ontractor of the following goods</w:t>
      </w:r>
      <w:r w:rsidR="00622EBA" w:rsidRPr="00622EBA">
        <w:rPr>
          <w:rFonts w:ascii="Times New Roman" w:hAnsi="Times New Roman"/>
          <w:sz w:val="22"/>
          <w:lang w:val="fr-BE"/>
        </w:rPr>
        <w:t xml:space="preserve"> </w:t>
      </w:r>
      <w:r w:rsidR="00622EBA" w:rsidRPr="00FA01E5">
        <w:rPr>
          <w:rFonts w:ascii="Times New Roman" w:hAnsi="Times New Roman"/>
          <w:sz w:val="22"/>
          <w:lang w:val="fr-BE"/>
        </w:rPr>
        <w:t xml:space="preserve">air quality monitoring equipment; consumables and spare parts </w:t>
      </w:r>
      <w:r w:rsidR="00622EBA">
        <w:rPr>
          <w:rFonts w:ascii="Times New Roman" w:hAnsi="Times New Roman"/>
          <w:sz w:val="22"/>
        </w:rPr>
        <w:t>presented in the table</w:t>
      </w:r>
      <w:r w:rsidR="00622EBA">
        <w:rPr>
          <w:rFonts w:ascii="Times New Roman" w:hAnsi="Times New Roman"/>
          <w:sz w:val="22"/>
          <w:lang w:val="en-GB"/>
        </w:rPr>
        <w:t xml:space="preserve">: </w:t>
      </w:r>
    </w:p>
    <w:p w14:paraId="7E26DE8B" w14:textId="67E91367" w:rsidR="00170EF5" w:rsidRDefault="00170EF5" w:rsidP="00170EF5">
      <w:pPr>
        <w:rPr>
          <w:rFonts w:ascii="Times New Roman" w:hAnsi="Times New Roman"/>
          <w:b/>
          <w:sz w:val="22"/>
          <w:szCs w:val="22"/>
          <w:lang w:val="en-GB"/>
        </w:rPr>
      </w:pPr>
    </w:p>
    <w:p w14:paraId="739A526C" w14:textId="77777777" w:rsidR="001648CD" w:rsidRDefault="001648CD" w:rsidP="00170EF5">
      <w:pPr>
        <w:rPr>
          <w:rFonts w:ascii="Times New Roman" w:hAnsi="Times New Roman"/>
          <w:b/>
          <w:sz w:val="22"/>
          <w:szCs w:val="22"/>
          <w:lang w:val="en-GB"/>
        </w:rPr>
      </w:pPr>
    </w:p>
    <w:p w14:paraId="4D35513C" w14:textId="77777777" w:rsidR="002576C0" w:rsidRDefault="002576C0" w:rsidP="00170EF5">
      <w:pPr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4"/>
        <w:gridCol w:w="7410"/>
        <w:gridCol w:w="1060"/>
      </w:tblGrid>
      <w:tr w:rsidR="00170EF5" w:rsidRPr="004C3FFA" w14:paraId="592F1AFC" w14:textId="77777777" w:rsidTr="00D65568">
        <w:trPr>
          <w:jc w:val="center"/>
        </w:trPr>
        <w:tc>
          <w:tcPr>
            <w:tcW w:w="9464" w:type="dxa"/>
            <w:gridSpan w:val="3"/>
            <w:shd w:val="clear" w:color="auto" w:fill="A6A6A6"/>
            <w:tcMar>
              <w:left w:w="98" w:type="dxa"/>
            </w:tcMar>
          </w:tcPr>
          <w:p w14:paraId="343465B8" w14:textId="77777777" w:rsidR="00170EF5" w:rsidRPr="004C3FFA" w:rsidRDefault="00170EF5" w:rsidP="00D65568">
            <w:pPr>
              <w:ind w:left="567"/>
              <w:jc w:val="both"/>
              <w:rPr>
                <w:rFonts w:ascii="Times New Roman" w:hAnsi="Times New Roman"/>
                <w:b/>
                <w:sz w:val="22"/>
              </w:rPr>
            </w:pPr>
            <w:bookmarkStart w:id="2" w:name="_Hlk20811939"/>
            <w:r w:rsidRPr="004C3FFA">
              <w:rPr>
                <w:rFonts w:ascii="Times New Roman" w:hAnsi="Times New Roman"/>
                <w:b/>
                <w:sz w:val="22"/>
              </w:rPr>
              <w:lastRenderedPageBreak/>
              <w:t>Air Quality Monitoring Equipment</w:t>
            </w:r>
          </w:p>
        </w:tc>
      </w:tr>
      <w:tr w:rsidR="00170EF5" w:rsidRPr="004C3FFA" w14:paraId="6B818A27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7F2B18E6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33672A37" w14:textId="00E3E6AB" w:rsidR="00170EF5" w:rsidRPr="004C3FFA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</w:rPr>
            </w:pPr>
            <w:r w:rsidRPr="00633C13">
              <w:rPr>
                <w:rFonts w:ascii="Times New Roman" w:hAnsi="Times New Roman"/>
                <w:sz w:val="22"/>
              </w:rPr>
              <w:t>Air quality Monitoring station (includes the following set of analyzers: PM2.5, PM10, O3, NO-NO2-NOx, SO2 and CO analyzers,  container, Calibration gases with calibrator and zero gas generator meteorological equipment, Data acquisition system (Data logger</w:t>
            </w:r>
            <w:r w:rsidR="00CC0D74">
              <w:rPr>
                <w:rFonts w:ascii="Times New Roman" w:hAnsi="Times New Roman"/>
                <w:sz w:val="22"/>
              </w:rPr>
              <w:t>,</w:t>
            </w:r>
            <w:bookmarkStart w:id="3" w:name="_GoBack"/>
            <w:bookmarkEnd w:id="3"/>
            <w:r w:rsidRPr="00633C13">
              <w:rPr>
                <w:rFonts w:ascii="Times New Roman" w:hAnsi="Times New Roman"/>
                <w:sz w:val="22"/>
              </w:rPr>
              <w:t xml:space="preserve"> </w:t>
            </w:r>
            <w:r w:rsidR="00CC0D74">
              <w:rPr>
                <w:rFonts w:ascii="Times New Roman" w:hAnsi="Times New Roman"/>
                <w:sz w:val="22"/>
              </w:rPr>
              <w:t>4G GSM</w:t>
            </w:r>
            <w:r w:rsidRPr="00633C13">
              <w:rPr>
                <w:rFonts w:ascii="Times New Roman" w:hAnsi="Times New Roman"/>
                <w:sz w:val="22"/>
              </w:rPr>
              <w:t xml:space="preserve"> routers and software), PM10 (PM2.5, PM1) sequential standard reference sampler, PC (lap-top)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17CB40CC" w14:textId="77777777" w:rsidR="00170EF5" w:rsidRPr="004C3FFA" w:rsidRDefault="00170EF5" w:rsidP="009064C1">
            <w:pPr>
              <w:ind w:left="-2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1</w:t>
            </w:r>
          </w:p>
        </w:tc>
      </w:tr>
      <w:tr w:rsidR="00170EF5" w:rsidRPr="004C3FFA" w14:paraId="122B7390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639DF546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3DD7690E" w14:textId="77777777" w:rsidR="00170EF5" w:rsidRPr="0080227C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</w:rPr>
            </w:pPr>
            <w:r w:rsidRPr="0080227C">
              <w:rPr>
                <w:rFonts w:ascii="Times New Roman" w:hAnsi="Times New Roman"/>
                <w:sz w:val="22"/>
              </w:rPr>
              <w:t xml:space="preserve">Automatic analyzer for measuring of suspended particulate matter PM10 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0BE603C6" w14:textId="77777777" w:rsidR="00170EF5" w:rsidRPr="004C3FFA" w:rsidRDefault="00170EF5" w:rsidP="009064C1">
            <w:pPr>
              <w:ind w:left="-2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1</w:t>
            </w:r>
          </w:p>
        </w:tc>
      </w:tr>
      <w:tr w:rsidR="00170EF5" w:rsidRPr="004C3FFA" w14:paraId="3793D995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27FD0A5F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318394B0" w14:textId="77777777" w:rsidR="00170EF5" w:rsidRPr="0080227C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</w:rPr>
            </w:pPr>
            <w:r w:rsidRPr="0080227C">
              <w:rPr>
                <w:rFonts w:ascii="Times New Roman" w:hAnsi="Times New Roman"/>
                <w:sz w:val="22"/>
              </w:rPr>
              <w:t>Automatic analyzer for measuring of suspended particulate matter PM2.5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1FEBE3EE" w14:textId="77777777" w:rsidR="00170EF5" w:rsidRPr="004C3FFA" w:rsidRDefault="00170EF5" w:rsidP="009064C1">
            <w:pPr>
              <w:ind w:left="-2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1</w:t>
            </w:r>
          </w:p>
        </w:tc>
      </w:tr>
      <w:tr w:rsidR="00170EF5" w:rsidRPr="004C3FFA" w14:paraId="2BA5DF84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3E0F04D7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61399288" w14:textId="77777777" w:rsidR="00170EF5" w:rsidRPr="0080227C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</w:rPr>
            </w:pPr>
            <w:r w:rsidRPr="0080227C">
              <w:rPr>
                <w:rFonts w:ascii="Times New Roman" w:hAnsi="Times New Roman"/>
                <w:sz w:val="22"/>
              </w:rPr>
              <w:t>Sulphur dioxide (SO2) analyzer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78B750DB" w14:textId="77777777" w:rsidR="00170EF5" w:rsidRPr="004C3FFA" w:rsidRDefault="00170EF5" w:rsidP="009064C1">
            <w:pPr>
              <w:ind w:left="-2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1</w:t>
            </w:r>
          </w:p>
        </w:tc>
      </w:tr>
      <w:tr w:rsidR="00170EF5" w:rsidRPr="004C3FFA" w14:paraId="1EEA2708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157C8B78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65FF3D21" w14:textId="77777777" w:rsidR="00170EF5" w:rsidRPr="0080227C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</w:rPr>
            </w:pPr>
            <w:r w:rsidRPr="0080227C">
              <w:rPr>
                <w:rFonts w:ascii="Times New Roman" w:hAnsi="Times New Roman"/>
                <w:sz w:val="22"/>
              </w:rPr>
              <w:t>Nitrogen dioxide and oxides of nitrogen (NO - NO2 – NOX) analyzer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0BD90038" w14:textId="77777777" w:rsidR="00170EF5" w:rsidRPr="004C3FFA" w:rsidRDefault="00170EF5" w:rsidP="009064C1">
            <w:pPr>
              <w:ind w:left="-2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1</w:t>
            </w:r>
          </w:p>
        </w:tc>
      </w:tr>
      <w:tr w:rsidR="00170EF5" w:rsidRPr="004C3FFA" w14:paraId="61D2070C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17E82AB6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40BB4290" w14:textId="77777777" w:rsidR="00170EF5" w:rsidRPr="0080227C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</w:rPr>
            </w:pPr>
            <w:r w:rsidRPr="0080227C">
              <w:rPr>
                <w:rFonts w:ascii="Times New Roman" w:hAnsi="Times New Roman"/>
                <w:sz w:val="22"/>
              </w:rPr>
              <w:t>Carbon monoxide (CO) analyzer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6AF55BDC" w14:textId="77777777" w:rsidR="00170EF5" w:rsidRPr="004C3FFA" w:rsidRDefault="00170EF5" w:rsidP="009064C1">
            <w:pPr>
              <w:ind w:left="-2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1</w:t>
            </w:r>
          </w:p>
        </w:tc>
      </w:tr>
      <w:tr w:rsidR="00170EF5" w:rsidRPr="004C3FFA" w14:paraId="71A1C8DB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51654893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359E1ADA" w14:textId="77777777" w:rsidR="00170EF5" w:rsidRPr="0080227C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</w:rPr>
            </w:pPr>
            <w:r w:rsidRPr="0080227C">
              <w:rPr>
                <w:rFonts w:ascii="Times New Roman" w:hAnsi="Times New Roman"/>
                <w:sz w:val="22"/>
              </w:rPr>
              <w:t>Ozone (O3) analyzer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0D78E2CF" w14:textId="77777777" w:rsidR="00170EF5" w:rsidRPr="004C3FFA" w:rsidRDefault="00170EF5" w:rsidP="009064C1">
            <w:pPr>
              <w:ind w:left="-2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1</w:t>
            </w:r>
          </w:p>
        </w:tc>
      </w:tr>
      <w:tr w:rsidR="00170EF5" w:rsidRPr="004C3FFA" w14:paraId="6F4D1D7C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66A37976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2877801B" w14:textId="77777777" w:rsidR="00170EF5" w:rsidRPr="0080227C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</w:rPr>
            </w:pPr>
            <w:r w:rsidRPr="0080227C">
              <w:rPr>
                <w:rFonts w:ascii="Times New Roman" w:hAnsi="Times New Roman"/>
                <w:sz w:val="22"/>
              </w:rPr>
              <w:t xml:space="preserve">Meteorological equipment 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0B7A564A" w14:textId="77777777" w:rsidR="00170EF5" w:rsidRPr="004C3FFA" w:rsidRDefault="00170EF5" w:rsidP="009064C1">
            <w:pPr>
              <w:ind w:left="-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170EF5" w:rsidRPr="004C3FFA" w14:paraId="234543BD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7C711E9F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1AB0AE47" w14:textId="77777777" w:rsidR="00170EF5" w:rsidRPr="0080227C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</w:rPr>
            </w:pPr>
            <w:r w:rsidRPr="0080227C">
              <w:rPr>
                <w:rFonts w:ascii="Times New Roman" w:hAnsi="Times New Roman"/>
                <w:sz w:val="22"/>
              </w:rPr>
              <w:t>PM10 (PM2.5, PM1) sequential standard reference sampler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071A9EA8" w14:textId="77777777" w:rsidR="00170EF5" w:rsidRPr="004C3FFA" w:rsidRDefault="00170EF5" w:rsidP="009064C1">
            <w:pPr>
              <w:ind w:left="-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170EF5" w:rsidRPr="004C3FFA" w14:paraId="17420C2E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33445FAF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 w:rsidRPr="00F67952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611794FD" w14:textId="6AA7548F" w:rsidR="00170EF5" w:rsidRPr="005E068F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7952">
              <w:rPr>
                <w:rFonts w:ascii="Times New Roman" w:hAnsi="Times New Roman"/>
                <w:sz w:val="22"/>
                <w:szCs w:val="22"/>
              </w:rPr>
              <w:t xml:space="preserve">Data acquisition system (Data logger, </w:t>
            </w:r>
            <w:r w:rsidR="00CC0D74">
              <w:rPr>
                <w:rFonts w:ascii="Times New Roman" w:hAnsi="Times New Roman"/>
                <w:sz w:val="22"/>
                <w:szCs w:val="22"/>
              </w:rPr>
              <w:t>4G GSM</w:t>
            </w:r>
            <w:r w:rsidRPr="00F67952">
              <w:rPr>
                <w:rFonts w:ascii="Times New Roman" w:hAnsi="Times New Roman"/>
                <w:sz w:val="22"/>
                <w:szCs w:val="22"/>
              </w:rPr>
              <w:t xml:space="preserve"> routers and software)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60BB94A3" w14:textId="77777777" w:rsidR="00170EF5" w:rsidRPr="004C3FFA" w:rsidRDefault="00170EF5" w:rsidP="009064C1">
            <w:pPr>
              <w:ind w:left="-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170EF5" w:rsidRPr="004C3FFA" w14:paraId="4BDE95A9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5BDA07D1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566AC53A" w14:textId="77777777" w:rsidR="00170EF5" w:rsidRPr="00F67952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PC (</w:t>
            </w:r>
            <w:r w:rsidRPr="00F67952">
              <w:rPr>
                <w:rFonts w:ascii="Times New Roman" w:hAnsi="Times New Roman"/>
                <w:sz w:val="22"/>
                <w:szCs w:val="22"/>
              </w:rPr>
              <w:t>Laptop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591D15EA" w14:textId="77777777" w:rsidR="00170EF5" w:rsidRPr="0080227C" w:rsidRDefault="00170EF5" w:rsidP="009064C1">
            <w:pPr>
              <w:ind w:lef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0EF5" w:rsidRPr="004C3FFA" w14:paraId="3F36FF32" w14:textId="77777777" w:rsidTr="00D65568">
        <w:trPr>
          <w:jc w:val="center"/>
        </w:trPr>
        <w:tc>
          <w:tcPr>
            <w:tcW w:w="994" w:type="dxa"/>
            <w:shd w:val="clear" w:color="auto" w:fill="F2F2F2"/>
            <w:tcMar>
              <w:left w:w="98" w:type="dxa"/>
            </w:tcMar>
          </w:tcPr>
          <w:p w14:paraId="35206490" w14:textId="77777777" w:rsidR="00170EF5" w:rsidRPr="004C3FFA" w:rsidRDefault="00170EF5" w:rsidP="009064C1">
            <w:pPr>
              <w:ind w:left="39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410" w:type="dxa"/>
            <w:shd w:val="clear" w:color="auto" w:fill="auto"/>
            <w:tcMar>
              <w:left w:w="98" w:type="dxa"/>
            </w:tcMar>
          </w:tcPr>
          <w:p w14:paraId="36BEBEEE" w14:textId="77777777" w:rsidR="00170EF5" w:rsidRPr="005E068F" w:rsidRDefault="00170EF5" w:rsidP="00D65568">
            <w:pPr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068F">
              <w:rPr>
                <w:rFonts w:ascii="Times New Roman" w:hAnsi="Times New Roman"/>
                <w:sz w:val="22"/>
                <w:szCs w:val="22"/>
              </w:rPr>
              <w:t>Training</w:t>
            </w:r>
          </w:p>
        </w:tc>
        <w:tc>
          <w:tcPr>
            <w:tcW w:w="1060" w:type="dxa"/>
            <w:shd w:val="clear" w:color="auto" w:fill="auto"/>
            <w:tcMar>
              <w:left w:w="98" w:type="dxa"/>
            </w:tcMar>
          </w:tcPr>
          <w:p w14:paraId="4EAF8966" w14:textId="77777777" w:rsidR="00170EF5" w:rsidRPr="004C3FFA" w:rsidRDefault="00170EF5" w:rsidP="009064C1">
            <w:pPr>
              <w:ind w:left="-2"/>
              <w:jc w:val="center"/>
              <w:rPr>
                <w:rFonts w:ascii="Times New Roman" w:hAnsi="Times New Roman"/>
                <w:sz w:val="22"/>
              </w:rPr>
            </w:pPr>
            <w:r w:rsidRPr="004C3FFA">
              <w:rPr>
                <w:rFonts w:ascii="Times New Roman" w:hAnsi="Times New Roman"/>
                <w:sz w:val="22"/>
              </w:rPr>
              <w:t>1</w:t>
            </w:r>
          </w:p>
        </w:tc>
      </w:tr>
    </w:tbl>
    <w:bookmarkEnd w:id="2"/>
    <w:p w14:paraId="6E41B874" w14:textId="479EC1DD"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A8756F">
        <w:rPr>
          <w:rFonts w:ascii="Times New Roman" w:hAnsi="Times New Roman"/>
          <w:sz w:val="22"/>
          <w:lang w:val="en-GB"/>
        </w:rPr>
        <w:t xml:space="preserve">specified in the </w:t>
      </w:r>
      <w:r w:rsidR="00622EBA">
        <w:rPr>
          <w:rFonts w:ascii="Times New Roman" w:hAnsi="Times New Roman"/>
          <w:sz w:val="22"/>
          <w:lang w:val="en-GB"/>
        </w:rPr>
        <w:t xml:space="preserve">Technical Specification (Annex </w:t>
      </w:r>
      <w:r w:rsidR="00622EBA" w:rsidRPr="00C26930">
        <w:rPr>
          <w:rFonts w:ascii="Times New Roman" w:hAnsi="Times New Roman"/>
          <w:sz w:val="22"/>
          <w:lang w:val="en-GB"/>
        </w:rPr>
        <w:t>II)</w:t>
      </w:r>
      <w:r w:rsidR="00F4368E">
        <w:rPr>
          <w:rFonts w:ascii="Times New Roman" w:hAnsi="Times New Roman"/>
          <w:sz w:val="22"/>
          <w:lang w:val="en-GB"/>
        </w:rPr>
        <w:t>,</w:t>
      </w:r>
      <w:r w:rsidR="008C695C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261058">
        <w:rPr>
          <w:rFonts w:ascii="Times New Roman" w:hAnsi="Times New Roman"/>
          <w:sz w:val="22"/>
          <w:lang w:val="en-GB"/>
        </w:rPr>
        <w:t>60 calendar days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Pr="008C695C">
        <w:rPr>
          <w:rFonts w:ascii="Times New Roman" w:hAnsi="Times New Roman"/>
          <w:sz w:val="22"/>
          <w:lang w:val="en-GB"/>
        </w:rPr>
        <w:t>DDP</w:t>
      </w:r>
      <w:r w:rsidR="00B202BC" w:rsidRPr="008C695C">
        <w:rPr>
          <w:rFonts w:ascii="Times New Roman" w:hAnsi="Times New Roman"/>
          <w:sz w:val="22"/>
          <w:lang w:val="en-GB"/>
        </w:rPr>
        <w:t xml:space="preserve"> </w:t>
      </w:r>
      <w:r w:rsidR="00E2190B" w:rsidRPr="008C695C">
        <w:rPr>
          <w:rStyle w:val="FootnoteReference"/>
          <w:rFonts w:ascii="Times New Roman" w:hAnsi="Times New Roman"/>
          <w:sz w:val="22"/>
          <w:lang w:val="en-GB"/>
        </w:rPr>
        <w:footnoteReference w:id="4"/>
      </w:r>
      <w:r w:rsidRPr="008C695C">
        <w:rPr>
          <w:rFonts w:ascii="Times New Roman" w:hAnsi="Times New Roman"/>
          <w:sz w:val="22"/>
          <w:lang w:val="en-GB"/>
        </w:rPr>
        <w:t>.</w:t>
      </w:r>
      <w:r w:rsidRPr="00A940DC">
        <w:rPr>
          <w:rFonts w:ascii="Times New Roman" w:hAnsi="Times New Roman"/>
          <w:sz w:val="22"/>
          <w:lang w:val="en-GB"/>
        </w:rPr>
        <w:t xml:space="preserve">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A8756F" w:rsidRPr="00A8756F">
        <w:rPr>
          <w:rFonts w:ascii="Times New Roman" w:hAnsi="Times New Roman"/>
          <w:sz w:val="22"/>
          <w:lang w:val="en-GB"/>
        </w:rPr>
        <w:t xml:space="preserve">commencement date of the contract to date for provisional </w:t>
      </w:r>
      <w:r w:rsidR="00073C0E" w:rsidRPr="008C695C">
        <w:rPr>
          <w:rFonts w:ascii="Times New Roman" w:hAnsi="Times New Roman"/>
          <w:sz w:val="22"/>
          <w:lang w:val="en-GB"/>
        </w:rPr>
        <w:t>acceptance</w:t>
      </w:r>
      <w:r w:rsidRPr="00A940DC">
        <w:rPr>
          <w:rFonts w:ascii="Times New Roman" w:hAnsi="Times New Roman"/>
          <w:sz w:val="22"/>
          <w:lang w:val="en-GB"/>
        </w:rPr>
        <w:t>.</w:t>
      </w:r>
    </w:p>
    <w:p w14:paraId="542FCA2A" w14:textId="56E8A944" w:rsidR="004D2FD8" w:rsidRPr="009B30FB" w:rsidRDefault="004D2FD8" w:rsidP="00170EF5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486B84A0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5FCBC005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26926E1D" w14:textId="77777777"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5A971065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705CE5EE" w14:textId="433FA121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814F23">
        <w:rPr>
          <w:rFonts w:ascii="Times New Roman" w:hAnsi="Times New Roman"/>
          <w:sz w:val="22"/>
          <w:lang w:val="en-GB"/>
        </w:rPr>
        <w:t>______________</w:t>
      </w:r>
      <w:r w:rsidR="001E684B" w:rsidRPr="00E20DFD">
        <w:rPr>
          <w:rFonts w:ascii="Times New Roman" w:hAnsi="Times New Roman"/>
          <w:sz w:val="22"/>
          <w:lang w:val="en-GB"/>
        </w:rPr>
        <w:t xml:space="preserve">EUR </w:t>
      </w:r>
    </w:p>
    <w:p w14:paraId="36EDC33D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1961F902" w14:textId="77777777" w:rsidR="002576C0" w:rsidRDefault="002576C0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5E9A84C9" w14:textId="77777777" w:rsidR="002576C0" w:rsidRDefault="002576C0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5A67C4AA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lastRenderedPageBreak/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59F08EDD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7CA59DB5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78A01865" w14:textId="44645968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  <w:r w:rsidR="00F4368E">
        <w:rPr>
          <w:rFonts w:ascii="Times New Roman" w:hAnsi="Times New Roman"/>
          <w:sz w:val="22"/>
          <w:lang w:val="en-GB"/>
        </w:rPr>
        <w:t>;</w:t>
      </w:r>
    </w:p>
    <w:p w14:paraId="30D4CD68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6ED8EC37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12EAE73B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261058">
        <w:rPr>
          <w:rFonts w:ascii="Times New Roman" w:hAnsi="Times New Roman"/>
          <w:sz w:val="22"/>
          <w:lang w:val="en-GB"/>
        </w:rPr>
        <w:t>[</w:t>
      </w:r>
      <w:r w:rsidRPr="008C695C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8C695C">
        <w:rPr>
          <w:rFonts w:ascii="Times New Roman" w:hAnsi="Times New Roman"/>
          <w:sz w:val="22"/>
          <w:lang w:val="en-GB"/>
        </w:rPr>
        <w:t xml:space="preserve">the </w:t>
      </w:r>
      <w:r w:rsidRPr="008C695C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8C695C">
        <w:rPr>
          <w:rFonts w:ascii="Times New Roman" w:hAnsi="Times New Roman"/>
          <w:sz w:val="22"/>
          <w:lang w:val="en-GB"/>
        </w:rPr>
        <w:t>]</w:t>
      </w:r>
      <w:r w:rsidR="00B202BC" w:rsidRPr="008C695C">
        <w:rPr>
          <w:rFonts w:ascii="Times New Roman" w:hAnsi="Times New Roman"/>
          <w:sz w:val="22"/>
          <w:lang w:val="en-GB"/>
        </w:rPr>
        <w:t>)</w:t>
      </w:r>
      <w:r w:rsidRPr="008C695C">
        <w:rPr>
          <w:rFonts w:ascii="Times New Roman" w:hAnsi="Times New Roman"/>
          <w:sz w:val="22"/>
          <w:lang w:val="en-GB"/>
        </w:rPr>
        <w:t>;</w:t>
      </w:r>
    </w:p>
    <w:p w14:paraId="58B56F9D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4387C82E" w14:textId="77777777" w:rsidR="00B80DE8" w:rsidRPr="00A940DC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261058">
        <w:rPr>
          <w:rFonts w:ascii="Times New Roman" w:hAnsi="Times New Roman"/>
          <w:sz w:val="22"/>
          <w:lang w:val="en-GB"/>
        </w:rPr>
        <w:t>[</w:t>
      </w:r>
      <w:r w:rsidR="007C75E0" w:rsidRPr="008C695C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8C695C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8C695C">
        <w:rPr>
          <w:rFonts w:ascii="Times New Roman" w:hAnsi="Times New Roman"/>
          <w:sz w:val="22"/>
          <w:lang w:val="en-GB"/>
        </w:rPr>
        <w:t xml:space="preserve"> (Annex V</w:t>
      </w:r>
      <w:r w:rsidR="00216F0D" w:rsidRPr="008C695C">
        <w:rPr>
          <w:rFonts w:ascii="Times New Roman" w:hAnsi="Times New Roman"/>
          <w:sz w:val="22"/>
          <w:lang w:val="en-GB"/>
        </w:rPr>
        <w:t>)</w:t>
      </w:r>
      <w:r w:rsidRPr="00261058">
        <w:rPr>
          <w:rFonts w:ascii="Times New Roman" w:hAnsi="Times New Roman"/>
          <w:sz w:val="22"/>
          <w:lang w:val="en-GB"/>
        </w:rPr>
        <w:t>]</w:t>
      </w:r>
      <w:r w:rsidR="00B80DE8" w:rsidRPr="00261058">
        <w:rPr>
          <w:rFonts w:ascii="Times New Roman" w:hAnsi="Times New Roman"/>
          <w:sz w:val="22"/>
          <w:lang w:val="en-GB"/>
        </w:rPr>
        <w:t>;</w:t>
      </w:r>
    </w:p>
    <w:p w14:paraId="4B176700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5BD7401E" w14:textId="7777777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7C5A51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7C5A51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5C317030" w14:textId="573D8072" w:rsidR="00462120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68104F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8C695C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14:paraId="6D757F5C" w14:textId="6DF7DA1C" w:rsidR="009064C1" w:rsidRPr="0068104F" w:rsidRDefault="009064C1" w:rsidP="0068104F">
      <w:pPr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9064C1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  <w:r w:rsidRPr="009064C1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Pr="009064C1">
        <w:rPr>
          <w:rFonts w:ascii="Times New Roman" w:hAnsi="Times New Roman"/>
          <w:sz w:val="22"/>
          <w:szCs w:val="22"/>
        </w:rPr>
        <w:t>the head of legal affairs unit of DG International Cooperation and Development</w:t>
      </w:r>
    </w:p>
    <w:p w14:paraId="7EFF9E74" w14:textId="74B7A69F" w:rsidR="00462120" w:rsidRPr="0068104F" w:rsidRDefault="00462120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>(</w:t>
      </w:r>
      <w:r w:rsidR="009064C1">
        <w:rPr>
          <w:rFonts w:ascii="Times New Roman" w:hAnsi="Times New Roman"/>
          <w:sz w:val="22"/>
          <w:szCs w:val="22"/>
        </w:rPr>
        <w:t>b</w:t>
      </w:r>
      <w:r w:rsidRPr="0068104F">
        <w:rPr>
          <w:rFonts w:ascii="Times New Roman" w:hAnsi="Times New Roman"/>
          <w:sz w:val="22"/>
          <w:szCs w:val="22"/>
        </w:rPr>
        <w:t xml:space="preserve">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14:paraId="173D7C4F" w14:textId="1A488392"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D5A37">
        <w:rPr>
          <w:rFonts w:ascii="Times New Roman" w:hAnsi="Times New Roman"/>
          <w:sz w:val="22"/>
          <w:szCs w:val="22"/>
          <w:lang w:val="en-GB"/>
        </w:rPr>
        <w:t>five</w:t>
      </w:r>
      <w:r w:rsidR="00227A05" w:rsidRPr="009064C1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9064C1">
        <w:rPr>
          <w:rFonts w:ascii="Times New Roman" w:hAnsi="Times New Roman"/>
          <w:sz w:val="22"/>
          <w:szCs w:val="22"/>
          <w:lang w:val="en-GB"/>
        </w:rPr>
        <w:t xml:space="preserve">originals, </w:t>
      </w:r>
      <w:r w:rsidR="00BD5A37">
        <w:rPr>
          <w:rFonts w:ascii="Times New Roman" w:hAnsi="Times New Roman"/>
          <w:sz w:val="22"/>
          <w:lang w:val="en-GB"/>
        </w:rPr>
        <w:t>four</w:t>
      </w:r>
      <w:r w:rsidRPr="009064C1">
        <w:rPr>
          <w:rFonts w:ascii="Times New Roman" w:hAnsi="Times New Roman"/>
          <w:sz w:val="22"/>
          <w:lang w:val="en-GB"/>
        </w:rPr>
        <w:t xml:space="preserve"> original being for the </w:t>
      </w:r>
      <w:r w:rsidR="00531265" w:rsidRPr="009064C1">
        <w:rPr>
          <w:rFonts w:ascii="Times New Roman" w:hAnsi="Times New Roman"/>
          <w:sz w:val="22"/>
          <w:lang w:val="en-GB"/>
        </w:rPr>
        <w:t>c</w:t>
      </w:r>
      <w:r w:rsidRPr="009064C1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9064C1">
        <w:rPr>
          <w:rFonts w:ascii="Times New Roman" w:hAnsi="Times New Roman"/>
          <w:sz w:val="22"/>
          <w:lang w:val="en-GB"/>
        </w:rPr>
        <w:t>a</w:t>
      </w:r>
      <w:r w:rsidRPr="009064C1">
        <w:rPr>
          <w:rFonts w:ascii="Times New Roman" w:hAnsi="Times New Roman"/>
          <w:sz w:val="22"/>
          <w:lang w:val="en-GB"/>
        </w:rPr>
        <w:t>uthority, and</w:t>
      </w:r>
      <w:r w:rsidRPr="005B03BC">
        <w:rPr>
          <w:rFonts w:ascii="Times New Roman" w:hAnsi="Times New Roman"/>
          <w:sz w:val="22"/>
          <w:lang w:val="en-GB"/>
        </w:rPr>
        <w:t xml:space="preserve"> one original being for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2D47E8">
        <w:rPr>
          <w:rFonts w:ascii="Times New Roman" w:hAnsi="Times New Roman"/>
          <w:sz w:val="22"/>
          <w:lang w:val="en-GB"/>
        </w:rPr>
        <w:t>ontractor</w:t>
      </w:r>
      <w:r w:rsidR="004C075A">
        <w:rPr>
          <w:rFonts w:ascii="Times New Roman" w:hAnsi="Times New Roman"/>
          <w:sz w:val="22"/>
          <w:lang w:val="en-GB"/>
        </w:rPr>
        <w:t>.</w:t>
      </w:r>
      <w:r w:rsidR="00D852BB">
        <w:rPr>
          <w:rFonts w:ascii="Times New Roman" w:hAnsi="Times New Roman"/>
          <w:sz w:val="22"/>
          <w:lang w:val="en-GB"/>
        </w:rPr>
        <w:t xml:space="preserve"> </w:t>
      </w:r>
    </w:p>
    <w:p w14:paraId="2CD6B20D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101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036"/>
        <w:gridCol w:w="1343"/>
        <w:gridCol w:w="630"/>
        <w:gridCol w:w="1864"/>
        <w:gridCol w:w="7"/>
        <w:gridCol w:w="8"/>
      </w:tblGrid>
      <w:tr w:rsidR="004D2FD8" w:rsidRPr="007B70EE" w14:paraId="09ACDDE9" w14:textId="77777777" w:rsidTr="008C695C">
        <w:trPr>
          <w:gridAfter w:val="1"/>
          <w:wAfter w:w="8" w:type="dxa"/>
          <w:trHeight w:val="405"/>
        </w:trPr>
        <w:tc>
          <w:tcPr>
            <w:tcW w:w="4253" w:type="dxa"/>
            <w:gridSpan w:val="2"/>
          </w:tcPr>
          <w:p w14:paraId="43795DE9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5880" w:type="dxa"/>
            <w:gridSpan w:val="5"/>
          </w:tcPr>
          <w:p w14:paraId="22148E89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3F581B85" w14:textId="77777777" w:rsidTr="008C695C">
        <w:trPr>
          <w:cantSplit/>
          <w:trHeight w:val="555"/>
        </w:trPr>
        <w:tc>
          <w:tcPr>
            <w:tcW w:w="1985" w:type="dxa"/>
          </w:tcPr>
          <w:p w14:paraId="47C9F9B4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2A7D41DD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009" w:type="dxa"/>
            <w:gridSpan w:val="3"/>
          </w:tcPr>
          <w:p w14:paraId="22547C1A" w14:textId="53DC8FBE" w:rsidR="004D2FD8" w:rsidRPr="00A8756F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8756F">
              <w:rPr>
                <w:rFonts w:ascii="Times New Roman" w:hAnsi="Times New Roman"/>
                <w:sz w:val="22"/>
                <w:lang w:val="en-GB"/>
              </w:rPr>
              <w:t>Name:</w:t>
            </w:r>
            <w:r w:rsidR="00A8756F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="00D43BA4">
              <w:rPr>
                <w:rFonts w:ascii="Times New Roman" w:hAnsi="Times New Roman"/>
                <w:sz w:val="22"/>
              </w:rPr>
              <w:t>Naser Nuredini</w:t>
            </w:r>
          </w:p>
        </w:tc>
        <w:tc>
          <w:tcPr>
            <w:tcW w:w="1879" w:type="dxa"/>
            <w:gridSpan w:val="3"/>
          </w:tcPr>
          <w:p w14:paraId="1E29A97E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3AA02902" w14:textId="77777777" w:rsidTr="008C695C">
        <w:trPr>
          <w:gridAfter w:val="2"/>
          <w:wAfter w:w="15" w:type="dxa"/>
          <w:cantSplit/>
          <w:trHeight w:val="577"/>
        </w:trPr>
        <w:tc>
          <w:tcPr>
            <w:tcW w:w="1985" w:type="dxa"/>
          </w:tcPr>
          <w:p w14:paraId="32248181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D88F094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98238E1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23CCE4C9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379" w:type="dxa"/>
            <w:gridSpan w:val="2"/>
          </w:tcPr>
          <w:p w14:paraId="0671ACB8" w14:textId="77777777" w:rsidR="004D2FD8" w:rsidRPr="00A8756F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1FBBD13" w14:textId="77777777" w:rsidR="004D2FD8" w:rsidRPr="00A8756F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EE2D56B" w14:textId="77777777" w:rsidR="00D43BA4" w:rsidRDefault="00FA3F66" w:rsidP="008C695C">
            <w:pPr>
              <w:pStyle w:val="BodyText"/>
              <w:keepNext/>
              <w:spacing w:before="0" w:after="0"/>
              <w:ind w:left="-60" w:firstLine="60"/>
            </w:pPr>
            <w:r w:rsidRPr="00A8756F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8756F">
              <w:rPr>
                <w:rFonts w:ascii="Times New Roman" w:hAnsi="Times New Roman"/>
                <w:sz w:val="22"/>
                <w:lang w:val="en-GB"/>
              </w:rPr>
              <w:t>:</w:t>
            </w:r>
            <w:r w:rsidR="00261058" w:rsidRPr="00A8756F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="00D43BA4">
              <w:rPr>
                <w:rFonts w:ascii="Times New Roman" w:hAnsi="Times New Roman"/>
                <w:sz w:val="22"/>
              </w:rPr>
              <w:t>Minister</w:t>
            </w:r>
            <w:r w:rsidR="00261058" w:rsidRPr="00A8756F">
              <w:rPr>
                <w:rFonts w:ascii="Times New Roman" w:hAnsi="Times New Roman"/>
                <w:sz w:val="22"/>
              </w:rPr>
              <w:t>,</w:t>
            </w:r>
            <w:r w:rsidR="00261058" w:rsidRPr="00A8756F">
              <w:t xml:space="preserve"> </w:t>
            </w:r>
          </w:p>
          <w:p w14:paraId="41915E84" w14:textId="2282CD81" w:rsidR="004D2FD8" w:rsidRPr="00A8756F" w:rsidRDefault="00261058" w:rsidP="009064C1">
            <w:pPr>
              <w:pStyle w:val="BodyText"/>
              <w:keepNext/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8756F">
              <w:rPr>
                <w:rFonts w:ascii="Times New Roman" w:hAnsi="Times New Roman"/>
                <w:sz w:val="22"/>
              </w:rPr>
              <w:t xml:space="preserve">Ministry of Environment and </w:t>
            </w:r>
            <w:r w:rsidR="00D43BA4">
              <w:rPr>
                <w:rFonts w:ascii="Times New Roman" w:hAnsi="Times New Roman"/>
                <w:sz w:val="22"/>
              </w:rPr>
              <w:t xml:space="preserve">  </w:t>
            </w:r>
            <w:r w:rsidR="009064C1">
              <w:rPr>
                <w:rFonts w:ascii="Times New Roman" w:hAnsi="Times New Roman"/>
                <w:sz w:val="22"/>
                <w:lang w:val="mk-MK"/>
              </w:rPr>
              <w:t xml:space="preserve"> </w:t>
            </w:r>
            <w:r w:rsidRPr="00A8756F">
              <w:rPr>
                <w:rFonts w:ascii="Times New Roman" w:hAnsi="Times New Roman"/>
                <w:sz w:val="22"/>
              </w:rPr>
              <w:t>Physical Planning</w:t>
            </w:r>
          </w:p>
        </w:tc>
        <w:tc>
          <w:tcPr>
            <w:tcW w:w="2494" w:type="dxa"/>
            <w:gridSpan w:val="2"/>
          </w:tcPr>
          <w:p w14:paraId="00E3B4EA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7AA94A31" w14:textId="77777777" w:rsidTr="008C695C">
        <w:trPr>
          <w:gridAfter w:val="2"/>
          <w:wAfter w:w="15" w:type="dxa"/>
          <w:cantSplit/>
          <w:trHeight w:val="878"/>
        </w:trPr>
        <w:tc>
          <w:tcPr>
            <w:tcW w:w="1985" w:type="dxa"/>
          </w:tcPr>
          <w:p w14:paraId="2D520DD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FE8D2E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1F0E3A7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715A6CC9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379" w:type="dxa"/>
            <w:gridSpan w:val="2"/>
          </w:tcPr>
          <w:p w14:paraId="350C432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279B50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02233A78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494" w:type="dxa"/>
            <w:gridSpan w:val="2"/>
          </w:tcPr>
          <w:p w14:paraId="1C86CE69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00D2BE66" w14:textId="77777777" w:rsidTr="008C695C">
        <w:trPr>
          <w:gridAfter w:val="2"/>
          <w:wAfter w:w="15" w:type="dxa"/>
          <w:cantSplit/>
          <w:trHeight w:val="428"/>
        </w:trPr>
        <w:tc>
          <w:tcPr>
            <w:tcW w:w="1985" w:type="dxa"/>
          </w:tcPr>
          <w:p w14:paraId="4B90258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3FD4D7D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5792A84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379" w:type="dxa"/>
            <w:gridSpan w:val="2"/>
          </w:tcPr>
          <w:p w14:paraId="304D7232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622C4ED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494" w:type="dxa"/>
            <w:gridSpan w:val="2"/>
          </w:tcPr>
          <w:p w14:paraId="1EE98CFE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6CC43CAA" w14:textId="77777777" w:rsidTr="008C695C">
        <w:trPr>
          <w:gridAfter w:val="1"/>
          <w:wAfter w:w="8" w:type="dxa"/>
          <w:cantSplit/>
          <w:trHeight w:val="660"/>
        </w:trPr>
        <w:tc>
          <w:tcPr>
            <w:tcW w:w="10133" w:type="dxa"/>
            <w:gridSpan w:val="7"/>
          </w:tcPr>
          <w:p w14:paraId="7B404C83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7B70EE" w14:paraId="0DCB70E1" w14:textId="77777777" w:rsidTr="00051041">
        <w:trPr>
          <w:gridAfter w:val="1"/>
          <w:wAfter w:w="8" w:type="dxa"/>
          <w:cantSplit/>
          <w:trHeight w:val="677"/>
        </w:trPr>
        <w:tc>
          <w:tcPr>
            <w:tcW w:w="1985" w:type="dxa"/>
          </w:tcPr>
          <w:p w14:paraId="586FF6A5" w14:textId="2C9343CD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5A5604AA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14:paraId="30FDC234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844" w:type="dxa"/>
            <w:gridSpan w:val="4"/>
          </w:tcPr>
          <w:p w14:paraId="12101392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50B61AFD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E3E5" w14:textId="77777777" w:rsidR="00E202BA" w:rsidRDefault="00E202BA">
      <w:r>
        <w:separator/>
      </w:r>
    </w:p>
    <w:p w14:paraId="19C7C1CD" w14:textId="77777777" w:rsidR="00E202BA" w:rsidRDefault="00E202BA"/>
  </w:endnote>
  <w:endnote w:type="continuationSeparator" w:id="0">
    <w:p w14:paraId="26CA0ECC" w14:textId="77777777" w:rsidR="00E202BA" w:rsidRDefault="00E202BA">
      <w:r>
        <w:continuationSeparator/>
      </w:r>
    </w:p>
    <w:p w14:paraId="30A67BBB" w14:textId="77777777" w:rsidR="00E202BA" w:rsidRDefault="00E20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D478" w14:textId="77777777" w:rsidR="00326BE0" w:rsidRPr="0076436E" w:rsidRDefault="000D4DE7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930933">
      <w:rPr>
        <w:rFonts w:ascii="Times New Roman" w:hAnsi="Times New Roman"/>
        <w:b/>
        <w:sz w:val="18"/>
        <w:szCs w:val="18"/>
        <w:lang w:val="en-GB"/>
      </w:rPr>
      <w:t xml:space="preserve"> </w:t>
    </w:r>
    <w:r w:rsidR="00571A21">
      <w:rPr>
        <w:rFonts w:ascii="Times New Roman" w:hAnsi="Times New Roman"/>
        <w:b/>
        <w:sz w:val="18"/>
        <w:szCs w:val="18"/>
        <w:lang w:val="en-GB"/>
      </w:rPr>
      <w:t>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B325F2">
      <w:rPr>
        <w:rFonts w:ascii="Times New Roman" w:hAnsi="Times New Roman"/>
        <w:noProof/>
        <w:sz w:val="18"/>
        <w:szCs w:val="18"/>
        <w:lang w:val="en-GB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B325F2">
      <w:rPr>
        <w:rFonts w:ascii="Times New Roman" w:hAnsi="Times New Roman"/>
        <w:noProof/>
        <w:sz w:val="18"/>
        <w:szCs w:val="18"/>
        <w:lang w:val="en-GB"/>
      </w:rPr>
      <w:t>5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6A92CF2A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8D01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4B9046FD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6271" w14:textId="77777777" w:rsidR="00E202BA" w:rsidRDefault="00E202BA" w:rsidP="008056C4">
      <w:pPr>
        <w:spacing w:before="0" w:after="0"/>
      </w:pPr>
      <w:r>
        <w:separator/>
      </w:r>
    </w:p>
  </w:footnote>
  <w:footnote w:type="continuationSeparator" w:id="0">
    <w:p w14:paraId="560EAC69" w14:textId="77777777" w:rsidR="00E202BA" w:rsidRDefault="00E202BA">
      <w:r>
        <w:continuationSeparator/>
      </w:r>
    </w:p>
    <w:p w14:paraId="0BF92252" w14:textId="77777777" w:rsidR="00E202BA" w:rsidRDefault="00E202BA"/>
  </w:footnote>
  <w:footnote w:id="1">
    <w:p w14:paraId="71649EFF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3C3499EB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49019AD2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14:paraId="5D9D4AF2" w14:textId="438DABED" w:rsidR="00326BE0" w:rsidRPr="00C675D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764FC7" w:rsidRPr="00C675D1">
        <w:rPr>
          <w:lang w:val="en-GB"/>
        </w:rPr>
        <w:tab/>
      </w:r>
      <w:r w:rsidRPr="00E20DFD">
        <w:rPr>
          <w:lang w:val="en-GB"/>
        </w:rPr>
        <w:t>DDP (Delivered Duty Paid</w:t>
      </w:r>
      <w:r w:rsidR="00D43BA4">
        <w:rPr>
          <w:lang w:val="en-GB"/>
        </w:rPr>
        <w:t>)</w:t>
      </w:r>
      <w:r w:rsidRPr="00C675D1">
        <w:rPr>
          <w:lang w:val="en-GB"/>
        </w:rPr>
        <w:t xml:space="preserve"> Incoterms 2010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103"/>
    <w:multiLevelType w:val="hybridMultilevel"/>
    <w:tmpl w:val="C6DA3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3"/>
  </w:num>
  <w:num w:numId="3">
    <w:abstractNumId w:val="7"/>
  </w:num>
  <w:num w:numId="4">
    <w:abstractNumId w:val="26"/>
  </w:num>
  <w:num w:numId="5">
    <w:abstractNumId w:val="22"/>
  </w:num>
  <w:num w:numId="6">
    <w:abstractNumId w:val="17"/>
  </w:num>
  <w:num w:numId="7">
    <w:abstractNumId w:val="15"/>
  </w:num>
  <w:num w:numId="8">
    <w:abstractNumId w:val="21"/>
  </w:num>
  <w:num w:numId="9">
    <w:abstractNumId w:val="40"/>
  </w:num>
  <w:num w:numId="10">
    <w:abstractNumId w:val="11"/>
  </w:num>
  <w:num w:numId="11">
    <w:abstractNumId w:val="12"/>
  </w:num>
  <w:num w:numId="12">
    <w:abstractNumId w:val="13"/>
  </w:num>
  <w:num w:numId="13">
    <w:abstractNumId w:val="25"/>
  </w:num>
  <w:num w:numId="14">
    <w:abstractNumId w:val="30"/>
  </w:num>
  <w:num w:numId="15">
    <w:abstractNumId w:val="35"/>
  </w:num>
  <w:num w:numId="16">
    <w:abstractNumId w:val="9"/>
  </w:num>
  <w:num w:numId="17">
    <w:abstractNumId w:val="20"/>
  </w:num>
  <w:num w:numId="18">
    <w:abstractNumId w:val="24"/>
  </w:num>
  <w:num w:numId="19">
    <w:abstractNumId w:val="29"/>
  </w:num>
  <w:num w:numId="20">
    <w:abstractNumId w:val="10"/>
  </w:num>
  <w:num w:numId="21">
    <w:abstractNumId w:val="23"/>
  </w:num>
  <w:num w:numId="22">
    <w:abstractNumId w:val="14"/>
  </w:num>
  <w:num w:numId="23">
    <w:abstractNumId w:val="16"/>
  </w:num>
  <w:num w:numId="24">
    <w:abstractNumId w:val="32"/>
  </w:num>
  <w:num w:numId="25">
    <w:abstractNumId w:val="19"/>
  </w:num>
  <w:num w:numId="26">
    <w:abstractNumId w:val="18"/>
  </w:num>
  <w:num w:numId="27">
    <w:abstractNumId w:val="36"/>
  </w:num>
  <w:num w:numId="28">
    <w:abstractNumId w:val="37"/>
  </w:num>
  <w:num w:numId="29">
    <w:abstractNumId w:val="3"/>
  </w:num>
  <w:num w:numId="30">
    <w:abstractNumId w:val="31"/>
  </w:num>
  <w:num w:numId="31">
    <w:abstractNumId w:val="27"/>
  </w:num>
  <w:num w:numId="32">
    <w:abstractNumId w:val="5"/>
  </w:num>
  <w:num w:numId="33">
    <w:abstractNumId w:val="6"/>
  </w:num>
  <w:num w:numId="34">
    <w:abstractNumId w:val="4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041"/>
    <w:rsid w:val="00051DD7"/>
    <w:rsid w:val="00056EAA"/>
    <w:rsid w:val="00063C56"/>
    <w:rsid w:val="000714BB"/>
    <w:rsid w:val="00073C0E"/>
    <w:rsid w:val="00080940"/>
    <w:rsid w:val="00085221"/>
    <w:rsid w:val="00085CA1"/>
    <w:rsid w:val="00087F35"/>
    <w:rsid w:val="0009286D"/>
    <w:rsid w:val="000A37A7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48CD"/>
    <w:rsid w:val="00165201"/>
    <w:rsid w:val="00170EF5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576C0"/>
    <w:rsid w:val="0026105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E13EB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624F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2664B"/>
    <w:rsid w:val="004300D4"/>
    <w:rsid w:val="004316F0"/>
    <w:rsid w:val="00432DF1"/>
    <w:rsid w:val="004554CB"/>
    <w:rsid w:val="00462120"/>
    <w:rsid w:val="00466C35"/>
    <w:rsid w:val="00467B76"/>
    <w:rsid w:val="004775D2"/>
    <w:rsid w:val="00477A78"/>
    <w:rsid w:val="00481845"/>
    <w:rsid w:val="00483E26"/>
    <w:rsid w:val="00486DD1"/>
    <w:rsid w:val="004963DB"/>
    <w:rsid w:val="00497BFC"/>
    <w:rsid w:val="004A7ED9"/>
    <w:rsid w:val="004B0424"/>
    <w:rsid w:val="004B740F"/>
    <w:rsid w:val="004C075A"/>
    <w:rsid w:val="004C35B5"/>
    <w:rsid w:val="004D2D88"/>
    <w:rsid w:val="004D2FD8"/>
    <w:rsid w:val="004E14D4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05CD"/>
    <w:rsid w:val="00571A21"/>
    <w:rsid w:val="00575CB0"/>
    <w:rsid w:val="00587B3A"/>
    <w:rsid w:val="00591F23"/>
    <w:rsid w:val="00593550"/>
    <w:rsid w:val="00594CAA"/>
    <w:rsid w:val="005B03BC"/>
    <w:rsid w:val="005B2018"/>
    <w:rsid w:val="005C0EA1"/>
    <w:rsid w:val="005D2554"/>
    <w:rsid w:val="005D7EDE"/>
    <w:rsid w:val="005F2975"/>
    <w:rsid w:val="005F3C51"/>
    <w:rsid w:val="005F62D0"/>
    <w:rsid w:val="0061160A"/>
    <w:rsid w:val="00614D5B"/>
    <w:rsid w:val="00622EBA"/>
    <w:rsid w:val="00623B00"/>
    <w:rsid w:val="00627EBD"/>
    <w:rsid w:val="006311FE"/>
    <w:rsid w:val="00633829"/>
    <w:rsid w:val="006408AC"/>
    <w:rsid w:val="0064342B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6E2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5A51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14F23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C695C"/>
    <w:rsid w:val="008E40E2"/>
    <w:rsid w:val="008E702C"/>
    <w:rsid w:val="008F05AD"/>
    <w:rsid w:val="008F7C5F"/>
    <w:rsid w:val="0090159D"/>
    <w:rsid w:val="009064C1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009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39CA"/>
    <w:rsid w:val="00A07723"/>
    <w:rsid w:val="00A361F1"/>
    <w:rsid w:val="00A512C9"/>
    <w:rsid w:val="00A539E4"/>
    <w:rsid w:val="00A551AB"/>
    <w:rsid w:val="00A62073"/>
    <w:rsid w:val="00A63E3C"/>
    <w:rsid w:val="00A646D3"/>
    <w:rsid w:val="00A75650"/>
    <w:rsid w:val="00A80A7B"/>
    <w:rsid w:val="00A83508"/>
    <w:rsid w:val="00A8756F"/>
    <w:rsid w:val="00A8789C"/>
    <w:rsid w:val="00A90F97"/>
    <w:rsid w:val="00A9235B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325F2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3B62"/>
    <w:rsid w:val="00BB56D3"/>
    <w:rsid w:val="00BC6222"/>
    <w:rsid w:val="00BC7B0D"/>
    <w:rsid w:val="00BD201F"/>
    <w:rsid w:val="00BD3371"/>
    <w:rsid w:val="00BD5A37"/>
    <w:rsid w:val="00C0433C"/>
    <w:rsid w:val="00C12AF0"/>
    <w:rsid w:val="00C13C29"/>
    <w:rsid w:val="00C17310"/>
    <w:rsid w:val="00C302E1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83842"/>
    <w:rsid w:val="00C92434"/>
    <w:rsid w:val="00C947B6"/>
    <w:rsid w:val="00CA1354"/>
    <w:rsid w:val="00CA1A45"/>
    <w:rsid w:val="00CA6C68"/>
    <w:rsid w:val="00CB3FCA"/>
    <w:rsid w:val="00CC0D74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43BA4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852BB"/>
    <w:rsid w:val="00D979C6"/>
    <w:rsid w:val="00DA4AB8"/>
    <w:rsid w:val="00DB0C2F"/>
    <w:rsid w:val="00DB78E3"/>
    <w:rsid w:val="00DC45BC"/>
    <w:rsid w:val="00DC50E2"/>
    <w:rsid w:val="00DC54A0"/>
    <w:rsid w:val="00DC6C9C"/>
    <w:rsid w:val="00DD0624"/>
    <w:rsid w:val="00DF3B44"/>
    <w:rsid w:val="00DF687C"/>
    <w:rsid w:val="00DF7327"/>
    <w:rsid w:val="00E02426"/>
    <w:rsid w:val="00E02A1E"/>
    <w:rsid w:val="00E13CDE"/>
    <w:rsid w:val="00E15B50"/>
    <w:rsid w:val="00E202BA"/>
    <w:rsid w:val="00E20DFD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16B1"/>
    <w:rsid w:val="00EC057A"/>
    <w:rsid w:val="00ED4B36"/>
    <w:rsid w:val="00EE0ED9"/>
    <w:rsid w:val="00EE2E55"/>
    <w:rsid w:val="00F02006"/>
    <w:rsid w:val="00F023B1"/>
    <w:rsid w:val="00F0574A"/>
    <w:rsid w:val="00F070CE"/>
    <w:rsid w:val="00F200C8"/>
    <w:rsid w:val="00F232CE"/>
    <w:rsid w:val="00F3222C"/>
    <w:rsid w:val="00F33A99"/>
    <w:rsid w:val="00F4368E"/>
    <w:rsid w:val="00F56D4C"/>
    <w:rsid w:val="00F658F3"/>
    <w:rsid w:val="00F8016B"/>
    <w:rsid w:val="00F804E1"/>
    <w:rsid w:val="00F8094B"/>
    <w:rsid w:val="00F86241"/>
    <w:rsid w:val="00F87F88"/>
    <w:rsid w:val="00F90A9F"/>
    <w:rsid w:val="00F91DF6"/>
    <w:rsid w:val="00F922B9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CDAB2"/>
  <w15:chartTrackingRefBased/>
  <w15:docId w15:val="{8682BF93-D9EF-46EE-B7EF-C43DEB5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character" w:styleId="CommentReference">
    <w:name w:val="annotation reference"/>
    <w:basedOn w:val="DefaultParagraphFont"/>
    <w:rsid w:val="002610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058"/>
  </w:style>
  <w:style w:type="character" w:customStyle="1" w:styleId="CommentTextChar">
    <w:name w:val="Comment Text Char"/>
    <w:basedOn w:val="DefaultParagraphFont"/>
    <w:link w:val="CommentText"/>
    <w:rsid w:val="00261058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1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1058"/>
    <w:rPr>
      <w:rFonts w:ascii="Arial" w:hAnsi="Arial"/>
      <w:b/>
      <w:bCs/>
      <w:snapToGrid w:val="0"/>
      <w:lang w:val="sv-S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22FE-7A7E-4FCC-97E0-5132DFC3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683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4684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Igor Atanasov</cp:lastModifiedBy>
  <cp:revision>21</cp:revision>
  <cp:lastPrinted>2012-10-22T09:58:00Z</cp:lastPrinted>
  <dcterms:created xsi:type="dcterms:W3CDTF">2019-10-04T11:46:00Z</dcterms:created>
  <dcterms:modified xsi:type="dcterms:W3CDTF">2020-01-30T12:04:00Z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